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38" w:rsidRPr="00FC0538" w:rsidRDefault="00FC7233" w:rsidP="00FC0538">
      <w:pPr>
        <w:widowControl/>
        <w:spacing w:before="100" w:beforeAutospacing="1" w:after="100" w:afterAutospacing="1"/>
        <w:contextualSpacing/>
        <w:jc w:val="center"/>
        <w:textAlignment w:val="top"/>
        <w:rPr>
          <w:rFonts w:ascii="Helvetica" w:hAnsi="Helvetica" w:cs="Helvetica"/>
          <w:b/>
          <w:bCs/>
          <w:snapToGrid/>
          <w:color w:val="000000"/>
          <w:sz w:val="24"/>
          <w:szCs w:val="24"/>
        </w:rPr>
      </w:pPr>
      <w:r>
        <w:rPr>
          <w:rFonts w:ascii="Helvetica" w:hAnsi="Helvetica" w:cs="Helvetica"/>
          <w:b/>
          <w:bCs/>
          <w:snapToGrid/>
          <w:color w:val="000000"/>
          <w:sz w:val="24"/>
          <w:szCs w:val="24"/>
        </w:rPr>
        <w:t xml:space="preserve">Twelve </w:t>
      </w:r>
      <w:r w:rsidR="00FC0538" w:rsidRPr="00FC0538">
        <w:rPr>
          <w:rFonts w:ascii="Helvetica" w:hAnsi="Helvetica" w:cs="Helvetica"/>
          <w:b/>
          <w:bCs/>
          <w:snapToGrid/>
          <w:color w:val="000000"/>
          <w:sz w:val="24"/>
          <w:szCs w:val="24"/>
        </w:rPr>
        <w:t>Statistics Tools at the Bureau of Justice Statistics (BJS)</w:t>
      </w:r>
      <w:r w:rsidR="00FC0538">
        <w:rPr>
          <w:rFonts w:ascii="Helvetica" w:hAnsi="Helvetica" w:cs="Helvetica"/>
          <w:b/>
          <w:bCs/>
          <w:snapToGrid/>
          <w:color w:val="000000"/>
          <w:sz w:val="24"/>
          <w:szCs w:val="24"/>
        </w:rPr>
        <w:t xml:space="preserve">   </w:t>
      </w:r>
      <w:proofErr w:type="gramStart"/>
      <w:r w:rsidR="00FC0538">
        <w:rPr>
          <w:rFonts w:ascii="Helvetica" w:hAnsi="Helvetica" w:cs="Helvetica"/>
          <w:b/>
          <w:bCs/>
          <w:snapToGrid/>
          <w:color w:val="000000"/>
          <w:sz w:val="24"/>
          <w:szCs w:val="24"/>
        </w:rPr>
        <w:t>Spring</w:t>
      </w:r>
      <w:proofErr w:type="gramEnd"/>
      <w:r w:rsidR="00FC0538">
        <w:rPr>
          <w:rFonts w:ascii="Helvetica" w:hAnsi="Helvetica" w:cs="Helvetica"/>
          <w:b/>
          <w:bCs/>
          <w:snapToGrid/>
          <w:color w:val="000000"/>
          <w:sz w:val="24"/>
          <w:szCs w:val="24"/>
        </w:rPr>
        <w:t xml:space="preserve"> 201</w:t>
      </w:r>
      <w:r w:rsidR="00222B66">
        <w:rPr>
          <w:rFonts w:ascii="Helvetica" w:hAnsi="Helvetica" w:cs="Helvetica"/>
          <w:b/>
          <w:bCs/>
          <w:snapToGrid/>
          <w:color w:val="000000"/>
          <w:sz w:val="24"/>
          <w:szCs w:val="24"/>
        </w:rPr>
        <w:t>7</w:t>
      </w:r>
      <w:bookmarkStart w:id="0" w:name="_GoBack"/>
      <w:bookmarkEnd w:id="0"/>
    </w:p>
    <w:p w:rsidR="00FC0538" w:rsidRPr="00FC0538" w:rsidRDefault="00222B66" w:rsidP="00FC0538">
      <w:pPr>
        <w:widowControl/>
        <w:spacing w:before="100" w:beforeAutospacing="1" w:after="100" w:afterAutospacing="1"/>
        <w:contextualSpacing/>
        <w:jc w:val="center"/>
        <w:textAlignment w:val="top"/>
        <w:rPr>
          <w:rFonts w:ascii="Helvetica" w:hAnsi="Helvetica" w:cs="Helvetica"/>
          <w:b/>
          <w:bCs/>
          <w:snapToGrid/>
          <w:color w:val="000000"/>
          <w:sz w:val="24"/>
          <w:szCs w:val="24"/>
        </w:rPr>
      </w:pPr>
      <w:hyperlink r:id="rId7" w:history="1">
        <w:r w:rsidR="00FC0538" w:rsidRPr="00E17DC2">
          <w:rPr>
            <w:rStyle w:val="Hyperlink"/>
            <w:rFonts w:ascii="Helvetica" w:hAnsi="Helvetica" w:cs="Helvetica"/>
            <w:b/>
            <w:bCs/>
            <w:snapToGrid/>
            <w:sz w:val="24"/>
            <w:szCs w:val="24"/>
          </w:rPr>
          <w:t>http://www.bjs.gov/index.cfm?ty=daa</w:t>
        </w:r>
      </w:hyperlink>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p>
    <w:p w:rsidR="00FC0538" w:rsidRPr="00FC0538"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1. </w:t>
      </w:r>
      <w:r w:rsidR="00FC0538" w:rsidRPr="0097773B">
        <w:rPr>
          <w:rFonts w:ascii="Helvetica" w:hAnsi="Helvetica" w:cs="Helvetica"/>
          <w:b/>
          <w:bCs/>
          <w:snapToGrid/>
          <w:color w:val="000000"/>
          <w:sz w:val="24"/>
          <w:szCs w:val="24"/>
        </w:rPr>
        <w:t>Arrest Data Analysis Tool</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dynamic data analysis tool allows you to generate tables and graphs of arrests. You can view national arrest estimates, customized either by age and sex or by age group and race, for many different offenses. This tool also enables you to view local ar</w:t>
      </w:r>
      <w:r w:rsidR="00FC0538" w:rsidRPr="00FC0538">
        <w:rPr>
          <w:rFonts w:ascii="Helvetica" w:hAnsi="Helvetica" w:cs="Helvetica"/>
          <w:snapToGrid/>
          <w:color w:val="000000"/>
          <w:sz w:val="24"/>
          <w:szCs w:val="24"/>
        </w:rPr>
        <w:t xml:space="preserve">rests. </w:t>
      </w:r>
      <w:r w:rsidR="00FC0538" w:rsidRPr="0097773B">
        <w:rPr>
          <w:rFonts w:ascii="Helvetica" w:hAnsi="Helvetica" w:cs="Helvetica"/>
          <w:snapToGrid/>
          <w:color w:val="000000"/>
          <w:sz w:val="24"/>
          <w:szCs w:val="24"/>
        </w:rPr>
        <w:t>The tool utilizes data collected by the Federal Bureau of Investigation through its Uniform Crime Reporting Program. </w:t>
      </w:r>
      <w:r w:rsidR="00FC0538" w:rsidRPr="0097773B">
        <w:rPr>
          <w:rFonts w:ascii="Helvetica" w:hAnsi="Helvetica" w:cs="Helvetica"/>
          <w:snapToGrid/>
          <w:color w:val="000000"/>
          <w:sz w:val="24"/>
          <w:szCs w:val="24"/>
        </w:rPr>
        <w:br/>
      </w:r>
      <w:hyperlink r:id="rId8" w:history="1">
        <w:r w:rsidR="00FC0538" w:rsidRPr="0097773B">
          <w:rPr>
            <w:rFonts w:ascii="Helvetica" w:hAnsi="Helvetica" w:cs="Helvetica"/>
            <w:snapToGrid/>
            <w:color w:val="7799BC"/>
            <w:sz w:val="24"/>
            <w:szCs w:val="24"/>
          </w:rPr>
          <w:t>Arrest Data Analysis Tool Home Page (Updated)</w:t>
        </w:r>
      </w:hyperlink>
      <w:r w:rsidR="00FC0538" w:rsidRPr="0097773B">
        <w:rPr>
          <w:rFonts w:ascii="Helvetica" w:hAnsi="Helvetica" w:cs="Helvetica"/>
          <w:snapToGrid/>
          <w:color w:val="000000"/>
          <w:sz w:val="24"/>
          <w:szCs w:val="24"/>
        </w:rPr>
        <w:t> (Resource Link)</w:t>
      </w:r>
    </w:p>
    <w:p w:rsidR="00FC0538" w:rsidRPr="0097773B" w:rsidRDefault="00FC0538" w:rsidP="00FC0538">
      <w:pPr>
        <w:widowControl/>
        <w:spacing w:before="100" w:beforeAutospacing="1" w:after="100" w:afterAutospacing="1"/>
        <w:contextualSpacing/>
        <w:textAlignment w:val="top"/>
        <w:rPr>
          <w:rFonts w:ascii="Helvetica" w:hAnsi="Helvetica" w:cs="Helvetica"/>
          <w:snapToGrid/>
          <w:color w:val="000000"/>
          <w:sz w:val="24"/>
          <w:szCs w:val="24"/>
        </w:rPr>
      </w:pPr>
    </w:p>
    <w:p w:rsidR="00FC0538" w:rsidRPr="00FC0538"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bookmarkStart w:id="1" w:name="218"/>
      <w:bookmarkEnd w:id="1"/>
      <w:r>
        <w:rPr>
          <w:rFonts w:ascii="Helvetica" w:hAnsi="Helvetica" w:cs="Helvetica"/>
          <w:b/>
          <w:bCs/>
          <w:snapToGrid/>
          <w:color w:val="000000"/>
          <w:sz w:val="24"/>
          <w:szCs w:val="24"/>
        </w:rPr>
        <w:t xml:space="preserve">2. </w:t>
      </w:r>
      <w:r w:rsidR="00FC0538" w:rsidRPr="0097773B">
        <w:rPr>
          <w:rFonts w:ascii="Helvetica" w:hAnsi="Helvetica" w:cs="Helvetica"/>
          <w:b/>
          <w:bCs/>
          <w:snapToGrid/>
          <w:color w:val="000000"/>
          <w:sz w:val="24"/>
          <w:szCs w:val="24"/>
        </w:rPr>
        <w:t>Census Bureau Population Estimates</w:t>
      </w:r>
      <w:r w:rsidR="00FC0538" w:rsidRPr="0097773B">
        <w:rPr>
          <w:rFonts w:ascii="Helvetica" w:hAnsi="Helvetica" w:cs="Helvetica"/>
          <w:snapToGrid/>
          <w:color w:val="000000"/>
          <w:sz w:val="24"/>
          <w:szCs w:val="24"/>
        </w:rPr>
        <w:t> </w:t>
      </w:r>
    </w:p>
    <w:p w:rsidR="00FC0538" w:rsidRPr="0097773B" w:rsidRDefault="00FC0538" w:rsidP="00FC0538">
      <w:pPr>
        <w:widowControl/>
        <w:spacing w:before="100" w:beforeAutospacing="1" w:after="100" w:afterAutospacing="1"/>
        <w:contextualSpacing/>
        <w:textAlignment w:val="top"/>
        <w:rPr>
          <w:rFonts w:ascii="Helvetica" w:hAnsi="Helvetica" w:cs="Helvetica"/>
          <w:snapToGrid/>
          <w:color w:val="000000"/>
          <w:sz w:val="24"/>
          <w:szCs w:val="24"/>
        </w:rPr>
      </w:pPr>
      <w:r w:rsidRPr="0097773B">
        <w:rPr>
          <w:rFonts w:ascii="Helvetica" w:hAnsi="Helvetica" w:cs="Helvetica"/>
          <w:snapToGrid/>
          <w:color w:val="000000"/>
          <w:sz w:val="24"/>
          <w:szCs w:val="24"/>
        </w:rPr>
        <w:t>U.S. Census Bureau population data estimates. </w:t>
      </w:r>
      <w:r w:rsidRPr="0097773B">
        <w:rPr>
          <w:rFonts w:ascii="Helvetica" w:hAnsi="Helvetica" w:cs="Helvetica"/>
          <w:snapToGrid/>
          <w:color w:val="000000"/>
          <w:sz w:val="24"/>
          <w:szCs w:val="24"/>
        </w:rPr>
        <w:br/>
      </w:r>
      <w:hyperlink r:id="rId9" w:history="1">
        <w:r w:rsidRPr="0097773B">
          <w:rPr>
            <w:rFonts w:ascii="Helvetica" w:hAnsi="Helvetica" w:cs="Helvetica"/>
            <w:snapToGrid/>
            <w:color w:val="7799BC"/>
            <w:sz w:val="24"/>
            <w:szCs w:val="24"/>
          </w:rPr>
          <w:t>Codebooks and Datasets</w:t>
        </w:r>
      </w:hyperlink>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2" w:name="402"/>
      <w:bookmarkEnd w:id="2"/>
    </w:p>
    <w:p w:rsidR="00FC0538" w:rsidRPr="00FC0538"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3. </w:t>
      </w:r>
      <w:r w:rsidR="00FC0538" w:rsidRPr="0097773B">
        <w:rPr>
          <w:rFonts w:ascii="Helvetica" w:hAnsi="Helvetica" w:cs="Helvetica"/>
          <w:b/>
          <w:bCs/>
          <w:snapToGrid/>
          <w:color w:val="000000"/>
          <w:sz w:val="24"/>
          <w:szCs w:val="24"/>
        </w:rPr>
        <w:t>Corrections Statistical Analysis Tool (CSAT) - Parole</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dynamic analysis tool allows you to examine data collected by the Annual Parole Survey on persons sentenced as adults who were conditionally released to parole supervision, by parole board decision, by mandatory conditional release, through other types of post-custody conditional supervision, or as the result of a sentence to a term of supervised release. </w:t>
      </w:r>
      <w:r w:rsidR="00FC0538" w:rsidRPr="0097773B">
        <w:rPr>
          <w:rFonts w:ascii="Helvetica" w:hAnsi="Helvetica" w:cs="Helvetica"/>
          <w:snapToGrid/>
          <w:color w:val="000000"/>
          <w:sz w:val="24"/>
          <w:szCs w:val="24"/>
        </w:rPr>
        <w:br/>
      </w:r>
      <w:hyperlink r:id="rId10" w:history="1">
        <w:r w:rsidR="00FC0538" w:rsidRPr="0097773B">
          <w:rPr>
            <w:rFonts w:ascii="Helvetica" w:hAnsi="Helvetica" w:cs="Helvetica"/>
            <w:snapToGrid/>
            <w:color w:val="7799BC"/>
            <w:sz w:val="24"/>
            <w:szCs w:val="24"/>
          </w:rPr>
          <w:t>Corrections Statistical Analysis Tool (CSAT) - Parole</w:t>
        </w:r>
      </w:hyperlink>
      <w:r w:rsidR="00FC0538" w:rsidRPr="0097773B">
        <w:rPr>
          <w:rFonts w:ascii="Helvetica" w:hAnsi="Helvetica" w:cs="Helvetica"/>
          <w:snapToGrid/>
          <w:color w:val="000000"/>
          <w:sz w:val="24"/>
          <w:szCs w:val="24"/>
        </w:rPr>
        <w:t> (Resource Link)</w:t>
      </w:r>
    </w:p>
    <w:p w:rsidR="00FC0538" w:rsidRPr="0097773B" w:rsidRDefault="00FC0538" w:rsidP="00FC0538">
      <w:pPr>
        <w:widowControl/>
        <w:spacing w:before="100" w:beforeAutospacing="1" w:after="100" w:afterAutospacing="1"/>
        <w:contextualSpacing/>
        <w:textAlignment w:val="top"/>
        <w:rPr>
          <w:rFonts w:ascii="Helvetica" w:hAnsi="Helvetica" w:cs="Helvetica"/>
          <w:snapToGrid/>
          <w:color w:val="000000"/>
          <w:sz w:val="24"/>
          <w:szCs w:val="24"/>
        </w:rPr>
      </w:pPr>
    </w:p>
    <w:p w:rsidR="00FC0538"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bookmarkStart w:id="3" w:name="364"/>
      <w:bookmarkEnd w:id="3"/>
      <w:r>
        <w:rPr>
          <w:rFonts w:ascii="Helvetica" w:hAnsi="Helvetica" w:cs="Helvetica"/>
          <w:b/>
          <w:bCs/>
          <w:snapToGrid/>
          <w:color w:val="000000"/>
          <w:sz w:val="24"/>
          <w:szCs w:val="24"/>
        </w:rPr>
        <w:t xml:space="preserve">4. </w:t>
      </w:r>
      <w:r w:rsidR="00FC0538" w:rsidRPr="0097773B">
        <w:rPr>
          <w:rFonts w:ascii="Helvetica" w:hAnsi="Helvetica" w:cs="Helvetica"/>
          <w:b/>
          <w:bCs/>
          <w:snapToGrid/>
          <w:color w:val="000000"/>
          <w:sz w:val="24"/>
          <w:szCs w:val="24"/>
        </w:rPr>
        <w:t>Corrections Statistical Analysis Tool (CSAT) - Prisoners</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dynamic analysis tool allows you to examine national and jurisdictional prisoner data for both federal and state correctional authorities. You can view yearend populations, admissions, and releases by legal jurisdiction, physical custody in private facilities and local jails, imprisonment rate, citizenship status, prison capacity, juvenile or adult age group, and sex. The tool uses National Prisoner Statistics. </w:t>
      </w:r>
      <w:r w:rsidR="00FC0538" w:rsidRPr="00FC0538">
        <w:rPr>
          <w:rFonts w:ascii="Helvetica" w:hAnsi="Helvetica" w:cs="Helvetica"/>
          <w:snapToGrid/>
          <w:color w:val="000000"/>
          <w:sz w:val="24"/>
          <w:szCs w:val="24"/>
        </w:rPr>
        <w:t xml:space="preserve"> </w:t>
      </w:r>
    </w:p>
    <w:p w:rsidR="00FC0538" w:rsidRPr="0097773B" w:rsidRDefault="00222B66" w:rsidP="00FC0538">
      <w:pPr>
        <w:widowControl/>
        <w:spacing w:before="100" w:beforeAutospacing="1" w:after="100" w:afterAutospacing="1"/>
        <w:contextualSpacing/>
        <w:textAlignment w:val="top"/>
        <w:rPr>
          <w:rFonts w:ascii="Helvetica" w:hAnsi="Helvetica" w:cs="Helvetica"/>
          <w:snapToGrid/>
          <w:color w:val="000000"/>
          <w:sz w:val="24"/>
          <w:szCs w:val="24"/>
        </w:rPr>
      </w:pPr>
      <w:hyperlink r:id="rId11" w:history="1">
        <w:r w:rsidR="00FC0538" w:rsidRPr="0097773B">
          <w:rPr>
            <w:rFonts w:ascii="Helvetica" w:hAnsi="Helvetica" w:cs="Helvetica"/>
            <w:snapToGrid/>
            <w:color w:val="7799BC"/>
            <w:sz w:val="24"/>
            <w:szCs w:val="24"/>
          </w:rPr>
          <w:t>Corrections Statistical Analysis Tool (CSAT) - Prisoners</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4" w:name="422"/>
      <w:bookmarkEnd w:id="4"/>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5. </w:t>
      </w:r>
      <w:r w:rsidR="00FC0538" w:rsidRPr="0097773B">
        <w:rPr>
          <w:rFonts w:ascii="Helvetica" w:hAnsi="Helvetica" w:cs="Helvetica"/>
          <w:b/>
          <w:bCs/>
          <w:snapToGrid/>
          <w:color w:val="000000"/>
          <w:sz w:val="24"/>
          <w:szCs w:val="24"/>
        </w:rPr>
        <w:t>Corrections Statistical Analysis Tool (CSAT) - Probation</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dynamic analysis tool allows you to examine data collected by the Annual Probation Survey on persons sentenced as adults. It includes parolees who were conditionally released to parole supervision by parole board decision, by mandatory conditional release, through other types of post-custody conditional supervision, or as the result of a sentence to a term of supervised release. </w:t>
      </w:r>
      <w:r w:rsidR="00FC0538" w:rsidRPr="0097773B">
        <w:rPr>
          <w:rFonts w:ascii="Helvetica" w:hAnsi="Helvetica" w:cs="Helvetica"/>
          <w:snapToGrid/>
          <w:color w:val="000000"/>
          <w:sz w:val="24"/>
          <w:szCs w:val="24"/>
        </w:rPr>
        <w:br/>
      </w:r>
      <w:hyperlink r:id="rId12" w:history="1">
        <w:r w:rsidR="00FC0538" w:rsidRPr="0097773B">
          <w:rPr>
            <w:rFonts w:ascii="Helvetica" w:hAnsi="Helvetica" w:cs="Helvetica"/>
            <w:snapToGrid/>
            <w:color w:val="7799BC"/>
            <w:sz w:val="24"/>
            <w:szCs w:val="24"/>
          </w:rPr>
          <w:t>Corrections Statistical Analysis Tool (CSAT) - Probation</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5" w:name="221"/>
      <w:bookmarkEnd w:id="5"/>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6. </w:t>
      </w:r>
      <w:r w:rsidR="00FC0538" w:rsidRPr="0097773B">
        <w:rPr>
          <w:rFonts w:ascii="Helvetica" w:hAnsi="Helvetica" w:cs="Helvetica"/>
          <w:b/>
          <w:bCs/>
          <w:snapToGrid/>
          <w:color w:val="000000"/>
          <w:sz w:val="24"/>
          <w:szCs w:val="24"/>
        </w:rPr>
        <w:t>Crime trends from the FBI's Uniform Crime Reports</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Crime trends from the FBI's Uniform Crime Reports that provides custom data tables by State including U.S. totals (since 1960), and by reporting local agency (since 1985) </w:t>
      </w:r>
      <w:r w:rsidR="00FC0538" w:rsidRPr="0097773B">
        <w:rPr>
          <w:rFonts w:ascii="Helvetica" w:hAnsi="Helvetica" w:cs="Helvetica"/>
          <w:snapToGrid/>
          <w:color w:val="000000"/>
          <w:sz w:val="24"/>
          <w:szCs w:val="24"/>
        </w:rPr>
        <w:br/>
      </w:r>
      <w:hyperlink r:id="rId13" w:history="1">
        <w:r w:rsidR="00FC0538" w:rsidRPr="0097773B">
          <w:rPr>
            <w:rFonts w:ascii="Helvetica" w:hAnsi="Helvetica" w:cs="Helvetica"/>
            <w:snapToGrid/>
            <w:color w:val="7799BC"/>
            <w:sz w:val="24"/>
            <w:szCs w:val="24"/>
          </w:rPr>
          <w:t>Uniform Crime Reports (UCR) Data Tool</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6" w:name="266"/>
      <w:bookmarkEnd w:id="6"/>
    </w:p>
    <w:p w:rsid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lastRenderedPageBreak/>
        <w:t xml:space="preserve">7. </w:t>
      </w:r>
      <w:r w:rsidR="00FC0538" w:rsidRPr="0097773B">
        <w:rPr>
          <w:rFonts w:ascii="Helvetica" w:hAnsi="Helvetica" w:cs="Helvetica"/>
          <w:b/>
          <w:bCs/>
          <w:snapToGrid/>
          <w:color w:val="000000"/>
          <w:sz w:val="24"/>
          <w:szCs w:val="24"/>
        </w:rPr>
        <w:t>Easy Access - Office of Juvenile Justice and Delinquency Prevention (OJJDP) data analysis tools</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Easy Access is a family of web-based data analysis tools on juvenile crime and the juvenile justice system provided by the Office of Juvenile Justice and Delinquency Prevention (OJJDP. The applications provide information on national, state, and county population counts, as well as information on homicide victims and offenders, juvenile court case processing, and juvenile offenders in residential placement facilities. </w:t>
      </w:r>
      <w:r w:rsidR="00FC0538" w:rsidRPr="00FC0538">
        <w:rPr>
          <w:rFonts w:ascii="Helvetica" w:hAnsi="Helvetica" w:cs="Helvetica"/>
          <w:snapToGrid/>
          <w:color w:val="000000"/>
          <w:sz w:val="24"/>
          <w:szCs w:val="24"/>
        </w:rPr>
        <w:t xml:space="preserve"> </w:t>
      </w:r>
      <w:hyperlink r:id="rId14" w:history="1">
        <w:r w:rsidR="00FC0538" w:rsidRPr="0097773B">
          <w:rPr>
            <w:rFonts w:ascii="Helvetica" w:hAnsi="Helvetica" w:cs="Helvetica"/>
            <w:snapToGrid/>
            <w:color w:val="7799BC"/>
            <w:sz w:val="24"/>
            <w:szCs w:val="24"/>
          </w:rPr>
          <w:t>Easy Access</w:t>
        </w:r>
      </w:hyperlink>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7" w:name="302"/>
      <w:bookmarkEnd w:id="7"/>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8. </w:t>
      </w:r>
      <w:r w:rsidR="00FC0538" w:rsidRPr="0097773B">
        <w:rPr>
          <w:rFonts w:ascii="Helvetica" w:hAnsi="Helvetica" w:cs="Helvetica"/>
          <w:b/>
          <w:bCs/>
          <w:snapToGrid/>
          <w:color w:val="000000"/>
          <w:sz w:val="24"/>
          <w:szCs w:val="24"/>
        </w:rPr>
        <w:t>Federal Criminal Case Processing Statistics - FCCPS</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The Federal Justice Statistics Resource Center (FJSRC) compiles comprehensive information provided by selected federal criminal justice agencies ranging from arrest to reentry. The Federal Criminal Case Processing Statistics (FCCPS) tool permits an on-line analysis of suspects and defendants processed across stages of the Federal criminal justice system from 1994. </w:t>
      </w:r>
      <w:hyperlink r:id="rId15" w:history="1">
        <w:r w:rsidR="00FC0538" w:rsidRPr="0097773B">
          <w:rPr>
            <w:rFonts w:ascii="Helvetica" w:hAnsi="Helvetica" w:cs="Helvetica"/>
            <w:snapToGrid/>
            <w:color w:val="7799BC"/>
            <w:sz w:val="24"/>
            <w:szCs w:val="24"/>
          </w:rPr>
          <w:t>Federal Criminal Case Processing Statistics (FCCPS)</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8" w:name="344"/>
      <w:bookmarkEnd w:id="8"/>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9. </w:t>
      </w:r>
      <w:r w:rsidR="00FC0538" w:rsidRPr="0097773B">
        <w:rPr>
          <w:rFonts w:ascii="Helvetica" w:hAnsi="Helvetica" w:cs="Helvetica"/>
          <w:b/>
          <w:bCs/>
          <w:snapToGrid/>
          <w:color w:val="000000"/>
          <w:sz w:val="24"/>
          <w:szCs w:val="24"/>
        </w:rPr>
        <w:t>NCVS Victimization Analysis Tool</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analysis tool allows you to examine National Crime Victimization Survey (NCVS) data on both violent and property crime by select victim, household, and incident characteristics. The tool gives you instant access to victimization estimates from 1993 to the most recent year that NCVS data are available. The NCVS is an annual data collection conducted by the U.S. Census Bureau for the Bureau of Justice Statistics (BJS). </w:t>
      </w:r>
      <w:r w:rsidR="00FC0538" w:rsidRPr="00FC0538">
        <w:rPr>
          <w:rFonts w:ascii="Helvetica" w:hAnsi="Helvetica" w:cs="Helvetica"/>
          <w:snapToGrid/>
          <w:color w:val="000000"/>
          <w:sz w:val="24"/>
          <w:szCs w:val="24"/>
        </w:rPr>
        <w:t xml:space="preserve"> </w:t>
      </w:r>
      <w:hyperlink r:id="rId16" w:history="1">
        <w:r w:rsidR="00FC0538" w:rsidRPr="0097773B">
          <w:rPr>
            <w:rFonts w:ascii="Helvetica" w:hAnsi="Helvetica" w:cs="Helvetica"/>
            <w:snapToGrid/>
            <w:color w:val="7799BC"/>
            <w:sz w:val="24"/>
            <w:szCs w:val="24"/>
          </w:rPr>
          <w:t>NCVS Victimization Analysis Tool</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9" w:name="382"/>
      <w:bookmarkEnd w:id="9"/>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10. </w:t>
      </w:r>
      <w:r w:rsidR="00FC0538" w:rsidRPr="0097773B">
        <w:rPr>
          <w:rFonts w:ascii="Helvetica" w:hAnsi="Helvetica" w:cs="Helvetica"/>
          <w:b/>
          <w:bCs/>
          <w:snapToGrid/>
          <w:color w:val="000000"/>
          <w:sz w:val="24"/>
          <w:szCs w:val="24"/>
        </w:rPr>
        <w:t>National Crime Victimization Survey (NCVS) API</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The NCVS RESTful API is a web service that provides criminal victimization data obtained annually from a nationally representative sample of about 79,800 households and 143,210 persons interviewed each year. NCVS data describe the frequency, characteristics and consequences of criminal victimization in the United States. The NCVS provides the largest national forum for victims to describe the impact of crime and characteristics of violent offenders. </w:t>
      </w:r>
      <w:hyperlink r:id="rId17" w:history="1">
        <w:r w:rsidR="00FC0538" w:rsidRPr="0097773B">
          <w:rPr>
            <w:rFonts w:ascii="Helvetica" w:hAnsi="Helvetica" w:cs="Helvetica"/>
            <w:snapToGrid/>
            <w:color w:val="7799BC"/>
            <w:sz w:val="24"/>
            <w:szCs w:val="24"/>
          </w:rPr>
          <w:t>National Crime Victimization Survey (NCVS) API</w:t>
        </w:r>
      </w:hyperlink>
      <w:r w:rsidR="00FC0538" w:rsidRPr="0097773B">
        <w:rPr>
          <w:rFonts w:ascii="Helvetica" w:hAnsi="Helvetica" w:cs="Helvetica"/>
          <w:snapToGrid/>
          <w:color w:val="000000"/>
          <w:sz w:val="24"/>
          <w:szCs w:val="24"/>
        </w:rPr>
        <w:t> (Resource Link)</w:t>
      </w:r>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10" w:name="322"/>
      <w:bookmarkEnd w:id="10"/>
    </w:p>
    <w:p w:rsidR="00FC0538" w:rsidRPr="0097773B"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11. </w:t>
      </w:r>
      <w:r w:rsidR="00FC0538" w:rsidRPr="0097773B">
        <w:rPr>
          <w:rFonts w:ascii="Helvetica" w:hAnsi="Helvetica" w:cs="Helvetica"/>
          <w:b/>
          <w:bCs/>
          <w:snapToGrid/>
          <w:color w:val="000000"/>
          <w:sz w:val="24"/>
          <w:szCs w:val="24"/>
        </w:rPr>
        <w:t>Prisoner Recidivism Analysis Tool - 1994</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analysis tool enables users to calculate recidivism rates for persons released from State prisons. Recidivism rates may be generated for a large sample of releases or for releases with specific demographic, criminal history, and sentence attributes. The tool utilizes data collected by BJS on a sampl</w:t>
      </w:r>
      <w:r w:rsidR="00FC0538">
        <w:rPr>
          <w:rFonts w:ascii="Helvetica" w:hAnsi="Helvetica" w:cs="Helvetica"/>
          <w:snapToGrid/>
          <w:color w:val="000000"/>
          <w:sz w:val="24"/>
          <w:szCs w:val="24"/>
        </w:rPr>
        <w:t>e</w:t>
      </w:r>
      <w:r w:rsidR="00FC0538" w:rsidRPr="0097773B">
        <w:rPr>
          <w:rFonts w:ascii="Helvetica" w:hAnsi="Helvetica" w:cs="Helvetica"/>
          <w:snapToGrid/>
          <w:color w:val="000000"/>
          <w:sz w:val="24"/>
          <w:szCs w:val="24"/>
        </w:rPr>
        <w:t xml:space="preserve"> of persons released from State prisons in 1994 and followed for a 3-year period. </w:t>
      </w:r>
      <w:hyperlink r:id="rId18" w:history="1">
        <w:r w:rsidR="00FC0538" w:rsidRPr="0097773B">
          <w:rPr>
            <w:rFonts w:ascii="Helvetica" w:hAnsi="Helvetica" w:cs="Helvetica"/>
            <w:snapToGrid/>
            <w:color w:val="7799BC"/>
            <w:sz w:val="24"/>
            <w:szCs w:val="24"/>
          </w:rPr>
          <w:t>Prisoner Recidivism Analysis Tool-1994 Home Page</w:t>
        </w:r>
      </w:hyperlink>
    </w:p>
    <w:p w:rsidR="00FC0538" w:rsidRPr="00FC0538" w:rsidRDefault="00FC0538" w:rsidP="00FC0538">
      <w:pPr>
        <w:widowControl/>
        <w:spacing w:before="100" w:beforeAutospacing="1" w:after="100" w:afterAutospacing="1"/>
        <w:contextualSpacing/>
        <w:textAlignment w:val="top"/>
        <w:rPr>
          <w:rFonts w:ascii="Helvetica" w:hAnsi="Helvetica" w:cs="Helvetica"/>
          <w:b/>
          <w:bCs/>
          <w:snapToGrid/>
          <w:color w:val="000000"/>
          <w:sz w:val="24"/>
          <w:szCs w:val="24"/>
        </w:rPr>
      </w:pPr>
      <w:bookmarkStart w:id="11" w:name="442"/>
      <w:bookmarkEnd w:id="11"/>
    </w:p>
    <w:p w:rsidR="00FC0538" w:rsidRPr="00FC0538" w:rsidRDefault="00FC7233" w:rsidP="00FC0538">
      <w:pPr>
        <w:widowControl/>
        <w:spacing w:before="100" w:beforeAutospacing="1" w:after="100" w:afterAutospacing="1"/>
        <w:contextualSpacing/>
        <w:textAlignment w:val="top"/>
        <w:rPr>
          <w:rFonts w:ascii="Helvetica" w:hAnsi="Helvetica" w:cs="Helvetica"/>
          <w:snapToGrid/>
          <w:color w:val="000000"/>
          <w:sz w:val="24"/>
          <w:szCs w:val="24"/>
        </w:rPr>
      </w:pPr>
      <w:r>
        <w:rPr>
          <w:rFonts w:ascii="Helvetica" w:hAnsi="Helvetica" w:cs="Helvetica"/>
          <w:b/>
          <w:bCs/>
          <w:snapToGrid/>
          <w:color w:val="000000"/>
          <w:sz w:val="24"/>
          <w:szCs w:val="24"/>
        </w:rPr>
        <w:t xml:space="preserve">12. </w:t>
      </w:r>
      <w:r w:rsidR="00FC0538" w:rsidRPr="0097773B">
        <w:rPr>
          <w:rFonts w:ascii="Helvetica" w:hAnsi="Helvetica" w:cs="Helvetica"/>
          <w:b/>
          <w:bCs/>
          <w:snapToGrid/>
          <w:color w:val="000000"/>
          <w:sz w:val="24"/>
          <w:szCs w:val="24"/>
        </w:rPr>
        <w:t>Prisoner Recidivism Analysis Tool - 2005</w:t>
      </w:r>
      <w:r w:rsidR="00FC0538" w:rsidRPr="0097773B">
        <w:rPr>
          <w:rFonts w:ascii="Helvetica" w:hAnsi="Helvetica" w:cs="Helvetica"/>
          <w:snapToGrid/>
          <w:color w:val="000000"/>
          <w:sz w:val="24"/>
          <w:szCs w:val="24"/>
        </w:rPr>
        <w:t> </w:t>
      </w:r>
      <w:r w:rsidR="00FC0538" w:rsidRPr="0097773B">
        <w:rPr>
          <w:rFonts w:ascii="Helvetica" w:hAnsi="Helvetica" w:cs="Helvetica"/>
          <w:snapToGrid/>
          <w:color w:val="000000"/>
          <w:sz w:val="24"/>
          <w:szCs w:val="24"/>
        </w:rPr>
        <w:br/>
        <w:t>This dynamic data analysis tool allows you to calculate recidivism rates of persons released from state prisons in 2005. The tool defines recidivism as an arrest for a new crime following release. You may generate recidivism rates for the entire sample of released prisoners or customize your search to view rates of released prisoners with specific demographic, criminal history, and sentence attributes. </w:t>
      </w:r>
      <w:r w:rsidR="00FC0538" w:rsidRPr="0097773B">
        <w:rPr>
          <w:rFonts w:ascii="Helvetica" w:hAnsi="Helvetica" w:cs="Helvetica"/>
          <w:snapToGrid/>
          <w:color w:val="000000"/>
          <w:sz w:val="24"/>
          <w:szCs w:val="24"/>
        </w:rPr>
        <w:br/>
      </w:r>
      <w:hyperlink r:id="rId19" w:history="1">
        <w:r w:rsidR="00FC0538" w:rsidRPr="0097773B">
          <w:rPr>
            <w:rFonts w:ascii="Helvetica" w:hAnsi="Helvetica" w:cs="Helvetica"/>
            <w:snapToGrid/>
            <w:color w:val="7799BC"/>
            <w:sz w:val="24"/>
            <w:szCs w:val="24"/>
          </w:rPr>
          <w:t>Prisoner Recidivism Analysis Tool - 2005 Home Page</w:t>
        </w:r>
      </w:hyperlink>
      <w:r w:rsidR="00FC0538" w:rsidRPr="0097773B">
        <w:rPr>
          <w:rFonts w:ascii="Helvetica" w:hAnsi="Helvetica" w:cs="Helvetica"/>
          <w:snapToGrid/>
          <w:color w:val="000000"/>
          <w:sz w:val="24"/>
          <w:szCs w:val="24"/>
        </w:rPr>
        <w:t> (Resource Link)</w:t>
      </w:r>
    </w:p>
    <w:p w:rsidR="00F3747A" w:rsidRPr="00FC0538" w:rsidRDefault="00F3747A">
      <w:pPr>
        <w:rPr>
          <w:rFonts w:ascii="Helvetica" w:hAnsi="Helvetica" w:cs="Helvetica"/>
          <w:sz w:val="24"/>
          <w:szCs w:val="24"/>
        </w:rPr>
      </w:pPr>
    </w:p>
    <w:sectPr w:rsidR="00F3747A" w:rsidRPr="00FC0538" w:rsidSect="00E5659F">
      <w:headerReference w:type="default" r:id="rId20"/>
      <w:endnotePr>
        <w:numFmt w:val="decimal"/>
      </w:endnotePr>
      <w:pgSz w:w="12240" w:h="15840"/>
      <w:pgMar w:top="1008" w:right="1008"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2B66">
      <w:r>
        <w:separator/>
      </w:r>
    </w:p>
  </w:endnote>
  <w:endnote w:type="continuationSeparator" w:id="0">
    <w:p w:rsidR="00000000" w:rsidRDefault="0022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2B66">
      <w:r>
        <w:separator/>
      </w:r>
    </w:p>
  </w:footnote>
  <w:footnote w:type="continuationSeparator" w:id="0">
    <w:p w:rsidR="00000000" w:rsidRDefault="0022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28E" w:rsidRDefault="00FC0538">
    <w:pPr>
      <w:suppressAutoHyphens/>
      <w:jc w:val="center"/>
      <w:rPr>
        <w:sz w:val="24"/>
      </w:rPr>
    </w:pPr>
    <w:r>
      <w:rPr>
        <w:noProof/>
        <w:snapToGrid/>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943600" cy="127000"/>
              <wp:effectExtent l="0" t="0" r="0"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128E" w:rsidRDefault="00222B66">
                          <w:pPr>
                            <w:tabs>
                              <w:tab w:val="center" w:pos="4680"/>
                              <w:tab w:val="right" w:pos="936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J43g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" o:allowincell="f" filled="f" stroked="f" strokeweight="0">
              <v:textbox inset="0,0,0,0">
                <w:txbxContent>
                  <w:p w:rsidR="0059128E" w:rsidRDefault="00FC7233">
                    <w:pPr>
                      <w:tabs>
                        <w:tab w:val="center" w:pos="4680"/>
                        <w:tab w:val="right" w:pos="9360"/>
                      </w:tabs>
                      <w:rPr>
                        <w:sz w:val="24"/>
                      </w:rPr>
                    </w:pPr>
                  </w:p>
                </w:txbxContent>
              </v:textbox>
              <w10:wrap anchorx="page"/>
            </v:rect>
          </w:pict>
        </mc:Fallback>
      </mc:AlternateContent>
    </w:r>
  </w:p>
  <w:p w:rsidR="0059128E" w:rsidRDefault="00222B66">
    <w:pPr>
      <w:suppressAutoHyphens/>
      <w:spacing w:after="140" w:line="100" w:lineRule="exact"/>
      <w:jc w:val="cent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38"/>
    <w:rsid w:val="00222B66"/>
    <w:rsid w:val="00F3747A"/>
    <w:rsid w:val="00FC0538"/>
    <w:rsid w:val="00FC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38"/>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38"/>
    <w:rPr>
      <w:color w:val="0000FF" w:themeColor="hyperlink"/>
      <w:u w:val="single"/>
    </w:rPr>
  </w:style>
  <w:style w:type="paragraph" w:styleId="ListParagraph">
    <w:name w:val="List Paragraph"/>
    <w:basedOn w:val="Normal"/>
    <w:uiPriority w:val="34"/>
    <w:qFormat/>
    <w:rsid w:val="00FC7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38"/>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538"/>
    <w:rPr>
      <w:color w:val="0000FF" w:themeColor="hyperlink"/>
      <w:u w:val="single"/>
    </w:rPr>
  </w:style>
  <w:style w:type="paragraph" w:styleId="ListParagraph">
    <w:name w:val="List Paragraph"/>
    <w:basedOn w:val="Normal"/>
    <w:uiPriority w:val="34"/>
    <w:qFormat/>
    <w:rsid w:val="00FC7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s.gov/index.cfm?ty=datool&amp;surl=/arrests/index.cfm" TargetMode="External"/><Relationship Id="rId13" Type="http://schemas.openxmlformats.org/officeDocument/2006/relationships/hyperlink" Target="http://www.bjs.gov/ucrdata/" TargetMode="External"/><Relationship Id="rId18" Type="http://schemas.openxmlformats.org/officeDocument/2006/relationships/hyperlink" Target="http://www.bjs.gov/index.cfm?ty=datool&amp;surl=/recidivism/index.c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js.gov/index.cfm?ty=daa" TargetMode="External"/><Relationship Id="rId12" Type="http://schemas.openxmlformats.org/officeDocument/2006/relationships/hyperlink" Target="http://www.bjs.gov/probation/" TargetMode="External"/><Relationship Id="rId17" Type="http://schemas.openxmlformats.org/officeDocument/2006/relationships/hyperlink" Target="http://www.bjs.gov/developer/ncvs/index.cfm" TargetMode="External"/><Relationship Id="rId2" Type="http://schemas.microsoft.com/office/2007/relationships/stylesWithEffects" Target="stylesWithEffects.xml"/><Relationship Id="rId16" Type="http://schemas.openxmlformats.org/officeDocument/2006/relationships/hyperlink" Target="http://www.bjs.gov/index.cfm?ty=nvat"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js.gov/index.cfm?ty=nps" TargetMode="External"/><Relationship Id="rId5" Type="http://schemas.openxmlformats.org/officeDocument/2006/relationships/footnotes" Target="footnotes.xml"/><Relationship Id="rId15" Type="http://schemas.openxmlformats.org/officeDocument/2006/relationships/hyperlink" Target="http://www.bjs.gov/fjsrc/" TargetMode="External"/><Relationship Id="rId10" Type="http://schemas.openxmlformats.org/officeDocument/2006/relationships/hyperlink" Target="http://www.bjs.gov/parole/" TargetMode="External"/><Relationship Id="rId19" Type="http://schemas.openxmlformats.org/officeDocument/2006/relationships/hyperlink" Target="http://www.bjs.gov/recidivism_2005_arrest/" TargetMode="External"/><Relationship Id="rId4" Type="http://schemas.openxmlformats.org/officeDocument/2006/relationships/webSettings" Target="webSettings.xml"/><Relationship Id="rId9" Type="http://schemas.openxmlformats.org/officeDocument/2006/relationships/hyperlink" Target="http://www.census.gov/popest/" TargetMode="External"/><Relationship Id="rId14" Type="http://schemas.openxmlformats.org/officeDocument/2006/relationships/hyperlink" Target="http://ojjdp.ncjrs.gov/ojstatbb/da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2017-02-13T14:31:00Z</dcterms:created>
  <dcterms:modified xsi:type="dcterms:W3CDTF">2017-02-13T14:31:00Z</dcterms:modified>
</cp:coreProperties>
</file>